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0449" w14:textId="77777777" w:rsidR="002F7F40" w:rsidRDefault="00000000">
      <w:pPr>
        <w:ind w:right="-1165"/>
        <w:rPr>
          <w:rFonts w:ascii="Times New Roman" w:hAnsi="Times New Roman"/>
          <w:b/>
          <w:sz w:val="24"/>
          <w:szCs w:val="24"/>
          <w:u w:val="single"/>
          <w:lang w:val="lt-LT" w:eastAsia="lt-LT"/>
        </w:rPr>
      </w:pPr>
      <w:bookmarkStart w:id="0" w:name="_Hlk125113318"/>
      <w:r>
        <w:rPr>
          <w:rFonts w:ascii="Times New Roman" w:hAnsi="Times New Roman"/>
          <w:b/>
          <w:sz w:val="24"/>
          <w:szCs w:val="24"/>
          <w:u w:val="single"/>
          <w:lang w:val="lt-LT" w:eastAsia="lt-LT"/>
        </w:rPr>
        <w:t xml:space="preserve">                                                           Vilniaus Liepkalnio mokykla_____________________</w:t>
      </w:r>
    </w:p>
    <w:p w14:paraId="22D41214" w14:textId="77777777" w:rsidR="002F7F40" w:rsidRDefault="00000000">
      <w:pPr>
        <w:ind w:right="-1165"/>
        <w:jc w:val="center"/>
        <w:rPr>
          <w:rFonts w:ascii="Times New Roman" w:hAnsi="Times New Roman"/>
          <w:bCs/>
          <w:lang w:val="lt-LT" w:eastAsia="lt-LT"/>
        </w:rPr>
      </w:pPr>
      <w:r>
        <w:rPr>
          <w:rFonts w:ascii="Times New Roman" w:hAnsi="Times New Roman"/>
          <w:bCs/>
          <w:lang w:val="lt-LT" w:eastAsia="lt-LT"/>
        </w:rPr>
        <w:t>(švietimo įstaigos pavadinimas)</w:t>
      </w:r>
    </w:p>
    <w:p w14:paraId="3CC64D87" w14:textId="77777777" w:rsidR="002F7F40" w:rsidRDefault="002F7F40">
      <w:pPr>
        <w:ind w:right="-1165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1E98F9BB" w14:textId="77777777" w:rsidR="002F7F40" w:rsidRDefault="00000000">
      <w:pPr>
        <w:rPr>
          <w:rFonts w:ascii="Times New Roman" w:hAnsi="Times New Roman"/>
          <w:b/>
          <w:sz w:val="24"/>
          <w:szCs w:val="24"/>
          <w:u w:val="single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u w:val="single"/>
          <w:lang w:val="lt-LT" w:eastAsia="lt-LT"/>
        </w:rPr>
        <w:t xml:space="preserve">                                                           Helena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lt-LT" w:eastAsia="lt-LT"/>
        </w:rPr>
        <w:t>Gasperska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lt-LT" w:eastAsia="lt-LT"/>
        </w:rPr>
        <w:t>______________________________</w:t>
      </w:r>
    </w:p>
    <w:p w14:paraId="6DB12B8F" w14:textId="77777777" w:rsidR="002F7F40" w:rsidRDefault="00000000">
      <w:pPr>
        <w:rPr>
          <w:rFonts w:ascii="Times New Roman" w:hAnsi="Times New Roman"/>
          <w:bCs/>
          <w:lang w:val="lt-LT" w:eastAsia="lt-LT"/>
        </w:rPr>
      </w:pPr>
      <w:r>
        <w:rPr>
          <w:rFonts w:ascii="Times New Roman" w:hAnsi="Times New Roman"/>
          <w:bCs/>
          <w:lang w:val="lt-LT" w:eastAsia="lt-LT"/>
        </w:rPr>
        <w:t xml:space="preserve">                                                                        (švietimo įstaigos vadovo vardas ir pavardė)</w:t>
      </w:r>
    </w:p>
    <w:p w14:paraId="40E108BB" w14:textId="77777777" w:rsidR="002F7F40" w:rsidRDefault="00000000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METŲ VEIKLOS ATASKAITA</w:t>
      </w:r>
    </w:p>
    <w:p w14:paraId="1418CA79" w14:textId="77777777" w:rsidR="002F7F40" w:rsidRDefault="002F7F40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161C43F3" w14:textId="77777777" w:rsidR="002F7F40" w:rsidRDefault="00000000">
      <w:pPr>
        <w:jc w:val="center"/>
        <w:rPr>
          <w:rFonts w:ascii="Times New Roman" w:hAnsi="Times New Roman"/>
          <w:bCs/>
          <w:sz w:val="18"/>
          <w:szCs w:val="18"/>
          <w:lang w:val="lt-LT" w:eastAsia="lt-LT"/>
        </w:rPr>
      </w:pPr>
      <w:r>
        <w:rPr>
          <w:rFonts w:ascii="Times New Roman" w:hAnsi="Times New Roman"/>
          <w:bCs/>
          <w:sz w:val="24"/>
          <w:szCs w:val="24"/>
          <w:lang w:val="lt-LT" w:eastAsia="lt-LT"/>
        </w:rPr>
        <w:t>202</w:t>
      </w:r>
      <w:r>
        <w:rPr>
          <w:rFonts w:ascii="Times New Roman" w:hAnsi="Times New Roman"/>
          <w:bCs/>
          <w:sz w:val="24"/>
          <w:szCs w:val="24"/>
          <w:lang w:val="en-US" w:eastAsia="lt-LT"/>
        </w:rPr>
        <w:t>4</w:t>
      </w:r>
      <w:r>
        <w:rPr>
          <w:rFonts w:ascii="Times New Roman" w:hAnsi="Times New Roman"/>
          <w:bCs/>
          <w:sz w:val="24"/>
          <w:szCs w:val="24"/>
          <w:lang w:val="lt-LT" w:eastAsia="lt-LT"/>
        </w:rPr>
        <w:t xml:space="preserve"> m. sausio </w:t>
      </w:r>
      <w:r>
        <w:rPr>
          <w:rFonts w:ascii="Times New Roman" w:hAnsi="Times New Roman"/>
          <w:bCs/>
          <w:sz w:val="24"/>
          <w:szCs w:val="24"/>
          <w:lang w:val="en-US" w:eastAsia="lt-LT"/>
        </w:rPr>
        <w:t>19</w:t>
      </w:r>
      <w:r>
        <w:rPr>
          <w:rFonts w:ascii="Times New Roman" w:hAnsi="Times New Roman"/>
          <w:bCs/>
          <w:sz w:val="24"/>
          <w:szCs w:val="24"/>
          <w:lang w:val="lt-LT" w:eastAsia="lt-LT"/>
        </w:rPr>
        <w:t xml:space="preserve"> d. Nr.</w:t>
      </w:r>
    </w:p>
    <w:p w14:paraId="55677966" w14:textId="77777777" w:rsidR="002F7F40" w:rsidRDefault="00000000">
      <w:pPr>
        <w:jc w:val="center"/>
        <w:rPr>
          <w:rFonts w:ascii="Times New Roman" w:hAnsi="Times New Roman"/>
          <w:bCs/>
          <w:sz w:val="24"/>
          <w:szCs w:val="24"/>
          <w:lang w:val="lt-LT" w:eastAsia="lt-LT"/>
        </w:rPr>
      </w:pPr>
      <w:r>
        <w:rPr>
          <w:rFonts w:ascii="Times New Roman" w:hAnsi="Times New Roman"/>
          <w:bCs/>
          <w:sz w:val="24"/>
          <w:szCs w:val="24"/>
          <w:lang w:val="lt-LT" w:eastAsia="lt-LT"/>
        </w:rPr>
        <w:t>Vilnius</w:t>
      </w:r>
    </w:p>
    <w:p w14:paraId="7DA919C3" w14:textId="77777777" w:rsidR="002F7F40" w:rsidRDefault="002F7F40">
      <w:pPr>
        <w:jc w:val="center"/>
        <w:rPr>
          <w:rFonts w:ascii="Times New Roman" w:hAnsi="Times New Roman"/>
          <w:bCs/>
          <w:sz w:val="24"/>
          <w:szCs w:val="24"/>
          <w:lang w:val="lt-LT" w:eastAsia="lt-LT"/>
        </w:rPr>
      </w:pPr>
    </w:p>
    <w:p w14:paraId="5B4E5AA1" w14:textId="77777777" w:rsidR="002F7F40" w:rsidRDefault="00000000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I SKYRIUS</w:t>
      </w:r>
    </w:p>
    <w:p w14:paraId="67F7B804" w14:textId="77777777" w:rsidR="002F7F40" w:rsidRDefault="00000000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STRATEGINIO PLANO IR METINIO VEIKLOS PLANO ĮGYVENDINIMAS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7F40" w14:paraId="15D90731" w14:textId="77777777">
        <w:tc>
          <w:tcPr>
            <w:tcW w:w="9016" w:type="dxa"/>
          </w:tcPr>
          <w:p w14:paraId="255B5004" w14:textId="77777777" w:rsidR="002F7F40" w:rsidRDefault="00000000">
            <w:pP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    Mokykla tęsia savo strateginių tikslų įgyvendinimą, vadovaujantis Vilniaus Liepkalnio mokyklos 20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23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– 202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m. strateginiu planu, patvirtintu 20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23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m.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sausio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26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d. Vilniaus Liepkalnio mokyklos direktoriaus įsakymu Nr. V-1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„Dėl 20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23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metų Vilniaus Liepkalnio mokyklos strateginio plano tvirtinimo“, kuriam pritarta 20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23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m.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sausio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d. Vilniaus miesto savivaldybės administracijos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Bendrojo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ugdymo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skyriaus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vedėjo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įsakymu Nr. A15-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138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23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(2.1.4E-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BEU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) „Dėl pritarimo Vilniaus ugdymo įstaigų strateginiams planams“ ir Vilniaus Liepkalnio mokyklos 202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m. veiklos planu, patvirtintu 202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m. sausio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d. direktoriaus įsakymu Nr. V-1 „Dėl Vilniaus Liepkalnio mokyklos 202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m. veiklos plano tvirtinimo“ buvo tobulinamas ugdymo procesas, siekiant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geresnių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ugdymo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rezultatų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gerinti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pamokos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kokybę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mokytojų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bendradarbiavimą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inicijuoti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pasirengimą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atnaujinto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ugdymo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turinio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įgyvendinimui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mokykloje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stiprinti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įtraukiojo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ugdymo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praktiką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užtikrinti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palankų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socialinį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emocinį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mikroklimatą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mokykloje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.</w:t>
            </w:r>
          </w:p>
          <w:p w14:paraId="3B1965C5" w14:textId="77777777" w:rsidR="002F7F40" w:rsidRDefault="00000000">
            <w:pP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    Mokykloje dirba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mokytoja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s: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6 mokytojai metodininkai,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19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– vyresnieji mokytojai ir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mokytojai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2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priešmokyklinio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ugdymo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pedagogės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. </w:t>
            </w:r>
          </w:p>
          <w:p w14:paraId="586218DF" w14:textId="77777777" w:rsidR="002F7F40" w:rsidRDefault="00000000">
            <w:pP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Mokykla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siekia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inovatyvaus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ugdymo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yra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atvira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pokyčiams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domisi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kitų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įstaigų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pasiekimais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dalinasi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savo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pasiekimais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Dalyvavo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projekte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Pokyčių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mokyklos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kur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2023 m.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lapkričio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23 d. EDU Vilnius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pristatė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apibendrintą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veiklą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,,Vilniaus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Liepkalnio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mokyklos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sėkmės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istorija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”.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Mokytojai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pastoviai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tobulina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savo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kvalifikaciją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dalyvauja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seminaruose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mokymuose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: 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Perdegimo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prevencija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motyvacija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dirbti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pedagogo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darbe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pokyčių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sąlygomis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”, 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Grįžtamasis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ryšys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individualiam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augimo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mokymosi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kelio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kūrimui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kt. </w:t>
            </w:r>
          </w:p>
          <w:p w14:paraId="466108D7" w14:textId="77777777" w:rsidR="002F7F40" w:rsidRDefault="00000000">
            <w:pPr>
              <w:ind w:firstLineChars="100" w:firstLine="240"/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Administracija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stebėjo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25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pamokas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Buvo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stebėtas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diferencijavimas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individualizavimas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vertinimas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įsivertinimas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Pamokos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individualiai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aptartos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mokytojais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Stebėtų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pamokų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analizė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pristatyta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2023 m.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birželio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20 d.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Pedagogų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posėdyje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Mokytojai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nuosekliai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atnaujina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savo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žinias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žengia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inovacijos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keliu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įvaldant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naujas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mokymo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platformas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tobulinant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mokinių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skaitmeninį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raštingumą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įgyvendinant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projektus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: 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Vedliai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”-,,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Informatika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technologinė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kūryba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pradiniame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ugdyme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“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,,IT 5-8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klasėse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”, 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Eduten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2-8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klasėms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”.</w:t>
            </w:r>
          </w:p>
          <w:p w14:paraId="139CF42E" w14:textId="77777777" w:rsidR="002F7F40" w:rsidRDefault="00000000">
            <w:pPr>
              <w:ind w:firstLineChars="100" w:firstLine="240"/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Mokykla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daug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dėmesio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skiria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užsieniečių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vaikų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ugdymui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sėkmingai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jų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adaptacijai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bei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integracijai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.</w:t>
            </w:r>
          </w:p>
          <w:p w14:paraId="0750348C" w14:textId="77777777" w:rsidR="002F7F40" w:rsidRDefault="00000000">
            <w:pPr>
              <w:ind w:firstLineChars="150" w:firstLine="360"/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Mokykloje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mokėsi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specialiųjų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ugdymosi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poreikių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turintys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mokiniai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. Nuo 2023 m.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rugsėjo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mėn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mokykloje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dirba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visi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reikalingi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pagalbos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specialistai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Sudaryti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pagalbos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planai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kiekvienam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mokiniui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Sukurtas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veikia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SUP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mokinių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tėvų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klubas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Vilties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svetainė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”.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Mokytojai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tęsia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dalyvavimą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įvairiuose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seminaruose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apie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įtraukųjį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ugdymą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pvz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.: 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Laimingi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kartu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ugdydami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ypatingus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vaikus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”, ,,SUP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turinčių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mokinių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pažangos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pasiekimų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vertinimas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”.</w:t>
            </w:r>
          </w:p>
          <w:p w14:paraId="2AFC9C4D" w14:textId="77777777" w:rsidR="002F7F40" w:rsidRDefault="00000000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2022-2023 m. m.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mokykloje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mokėsi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305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mokinių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turėjome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14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klasių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komplektų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vieną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priešmokyklinio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ugdymo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grupę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(15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vaikų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Mokykla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nuosekliai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siekia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tvarių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rezultatų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Mokiniai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dalyvavo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įvairiuose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konkursuose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olimpiadose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pvz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.: EP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nario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L.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lastRenderedPageBreak/>
              <w:t>Mažylio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biuro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eilėraščių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esė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konkurse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Švenčiu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Lietuvą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” - 2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vieta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Vilniaus m. 3-4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klasių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mokinių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diktanto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konkurse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Mažųjų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diktantas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” - 3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vieta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Vilniaus m. 2-4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klasių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mokinių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matematikos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olimpiadoje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- 1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vieta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Respublikiniame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floristikos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konkurse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Dūzgiam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Kalėdas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sode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” - 3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vieta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Vilniaus m.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dailės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konkurse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Legendinis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Vilnius 700” - diplomas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pagyrimu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Mokiniai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dalyvauja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5-10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klasių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projektuose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Valgyk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protingai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”-,,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Sveikas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maistas-sveikas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aš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”, 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Ruduo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Rasose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”, ,,TŪM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mokyklų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projekte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”.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Sėkmingai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naudojamasi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kultūros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pasu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siekiant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suformuoti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mokinių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pažinimo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įpročius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pliečiant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jų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kultūrines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patirtis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Mokykla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bendradarbiauja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vietos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bendruomene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socialiniais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partneriais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savo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veiklą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bendruomenei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pristato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įvairių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renginių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metu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mokyklos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tinklalapyje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,,Facebook”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paskyroje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.</w:t>
            </w:r>
          </w:p>
          <w:p w14:paraId="38050DB7" w14:textId="77777777" w:rsidR="002F7F40" w:rsidRDefault="00000000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2023 m.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gegužės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mėnesį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mokykla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vykdė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elektroninius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PUPP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patikrinimus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bei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4-tų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8-tų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klasių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NMPP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patikrinimus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. PUPP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rezultatai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lyginant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2021-2022 m. m.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2022-2023 m. m.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pagerėjo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lietuvių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kalba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- 12,5 proc.,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matematika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- 21 proc.,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gimtoji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kalba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pablogėjo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- 6 proc.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Atliktas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8-os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klasės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IEA TIMSS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tyrimas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. </w:t>
            </w:r>
          </w:p>
          <w:p w14:paraId="34EBF3DB" w14:textId="77777777" w:rsidR="002F7F40" w:rsidRDefault="00000000">
            <w:pPr>
              <w:ind w:firstLine="240"/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Kuriant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ugdymui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palankią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fizinę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emocinę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aplinką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pradinėse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klasėse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buvo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vykdomos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prevencinės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programos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: 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Obuolio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draugai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”, 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Įveikiame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kartu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”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projektas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5-8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klasėms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Vilties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kibirkštėlė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”. 2023 m.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kovo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mėnesį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vyko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sąmoningumo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didinimo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mėnuo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,,Be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patyčių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”. Vaikai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buvo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mokomi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bendrauti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įveikti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sunkumus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padėti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kitiems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Buvo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išbandyta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įvairiausių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nusiraminimo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būdų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kai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kyla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pyktis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.</w:t>
            </w:r>
          </w:p>
          <w:p w14:paraId="5AF6F23F" w14:textId="77777777" w:rsidR="002F7F40" w:rsidRDefault="00000000">
            <w:pPr>
              <w:ind w:firstLine="240"/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Stengiamasi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sudaryti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sąlygas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mokiniams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mokytis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patrauklioje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estetiškoje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saugioje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aplinkoje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Atlikti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remontai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lietuvių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kalbos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pradinių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klasių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kabinetuose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baigtas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sporto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aikštyno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įrengimas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modernizuota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poilsio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zona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mokiniams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apželdinta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mokyklos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teritorija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.</w:t>
            </w:r>
          </w:p>
          <w:p w14:paraId="4EB844FC" w14:textId="77777777" w:rsidR="002F7F40" w:rsidRDefault="00000000">
            <w:pPr>
              <w:ind w:firstLine="240"/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Buvo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atnaujintos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tvarkos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: 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Mokinių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besimokančių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pagal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bendrojo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ugdymo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programas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pamokų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lankomumo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užtikrinimo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tvarkos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aprašas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”, 2023 m.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spalio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12 d.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direktoriaus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įsakymas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Nr. V-132; 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Mokinių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naudojimo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mobiliaisiais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telefonais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taisyklės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”, 2023 m.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spalio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20 d.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direktoriaus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įsakymas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Nr. V-134; 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Mokinių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pasiekimų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pažangos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vertinimo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tvarkos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aprašas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”, 2023 m.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lapkričio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15 d.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direktoriaus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įsakymas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Nr. V-149. </w:t>
            </w:r>
          </w:p>
          <w:p w14:paraId="0E3B592F" w14:textId="77777777" w:rsidR="002F7F40" w:rsidRDefault="002F7F40">
            <w:pPr>
              <w:ind w:firstLine="240"/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</w:pPr>
          </w:p>
        </w:tc>
      </w:tr>
      <w:bookmarkEnd w:id="0"/>
    </w:tbl>
    <w:p w14:paraId="41F58F3C" w14:textId="77777777" w:rsidR="002F7F40" w:rsidRDefault="002F7F40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0484BFA0" w14:textId="77777777" w:rsidR="002F7F40" w:rsidRDefault="00000000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II SKYRIUS</w:t>
      </w:r>
    </w:p>
    <w:p w14:paraId="73B813E5" w14:textId="77777777" w:rsidR="002F7F40" w:rsidRDefault="00000000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METŲ VEIKLOS UŽDUOTYS,  REZULTATAI IR RODIKLIAI</w:t>
      </w:r>
    </w:p>
    <w:p w14:paraId="77E02FEC" w14:textId="77777777" w:rsidR="002F7F40" w:rsidRDefault="002F7F40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6E9B7B20" w14:textId="77777777" w:rsidR="002F7F40" w:rsidRDefault="0000000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Pagrindiniai praėjusių metų veiklos rezultatai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F7F40" w14:paraId="1D9A35DC" w14:textId="77777777">
        <w:tc>
          <w:tcPr>
            <w:tcW w:w="2254" w:type="dxa"/>
          </w:tcPr>
          <w:p w14:paraId="5DCF6758" w14:textId="77777777" w:rsidR="002F7F40" w:rsidRDefault="00000000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Metų užduotys (toliau – užduotys)</w:t>
            </w:r>
          </w:p>
        </w:tc>
        <w:tc>
          <w:tcPr>
            <w:tcW w:w="2254" w:type="dxa"/>
          </w:tcPr>
          <w:p w14:paraId="78BC8A62" w14:textId="77777777" w:rsidR="002F7F40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2254" w:type="dxa"/>
          </w:tcPr>
          <w:p w14:paraId="7415D59F" w14:textId="77777777" w:rsidR="002F7F40" w:rsidRDefault="00000000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254" w:type="dxa"/>
          </w:tcPr>
          <w:p w14:paraId="04B13711" w14:textId="77777777" w:rsidR="002F7F40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Pasiekti rezultatai ir jų rodikliai</w:t>
            </w:r>
          </w:p>
        </w:tc>
      </w:tr>
      <w:tr w:rsidR="002F7F40" w14:paraId="76E1E563" w14:textId="77777777">
        <w:tc>
          <w:tcPr>
            <w:tcW w:w="2254" w:type="dxa"/>
          </w:tcPr>
          <w:p w14:paraId="4010F29E" w14:textId="77777777" w:rsidR="002F7F40" w:rsidRDefault="00000000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8.1. Siekiant geresnių ugdymo(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>) rezultatų, gerinti pamokos kokybę ir mokytojų bendradarbiavimą.</w:t>
            </w:r>
          </w:p>
        </w:tc>
        <w:tc>
          <w:tcPr>
            <w:tcW w:w="2254" w:type="dxa"/>
          </w:tcPr>
          <w:p w14:paraId="65386BFE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8.1.1. 100 % mokytojų tobulins kompetencijas ugdymo diferencijavimo srityje, išklausys bent vieną seminarą.</w:t>
            </w:r>
          </w:p>
          <w:p w14:paraId="4093CBE3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1018A6D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3282B99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71D68AC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E455688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515588A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EF28003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825B511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9A01153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CC56B90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CBC63AB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2486C04" w14:textId="77777777" w:rsidR="002F7F40" w:rsidRDefault="0000000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4F64A793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37D8F3D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2ECF305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733FB2E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8.1.2. Kolegialaus grįžtamojo ryšio mokymų organizavimas.</w:t>
            </w:r>
          </w:p>
          <w:p w14:paraId="6037F0EC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D226613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BB2C6AA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47C207A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8F6D56B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0662F55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B3291F7" w14:textId="77777777" w:rsidR="002F7F40" w:rsidRDefault="0000000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8.1.3. 80 % mokytojų ne mažiau kaip 3% pamokų organizuos įvairiose edukacinėse aplinkose.</w:t>
            </w:r>
          </w:p>
          <w:p w14:paraId="0E169284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2FF9577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215C2F4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7E50AD8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8DDD237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0D66857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C6D9BB6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3FB6140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DCE7657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49EDA3F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D277947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E648332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109C5F2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EFB91E8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4194593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88EFF80" w14:textId="77777777" w:rsidR="002F7F40" w:rsidRDefault="0000000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8.1.4. Mokinių, pasiekusių aukštesnįjį lygį 1-4 kl. sieks 15 %, 5-10 kl. sieks 3%.</w:t>
            </w:r>
          </w:p>
          <w:p w14:paraId="50ECCF4E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7D9BC34" w14:textId="77777777" w:rsidR="002F7F40" w:rsidRDefault="0000000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8.1.5. NMPP aukštesnysis ir pagrindinis pasiekimų lygis bus 2 % didesnis negu 2022 m.</w:t>
            </w:r>
          </w:p>
          <w:p w14:paraId="6715DAB3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C73EDA0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67002D9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229EBA3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D41BDE1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E1E4FA1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BE1CD19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0860A5B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1480978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3A01436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F3450BC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509EC19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8B376F0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7E6B8B2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9484088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3E08044" w14:textId="77777777" w:rsidR="002F7F40" w:rsidRDefault="00000000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8.1.6. Sudarytos 2-3 galimybės mokytojams per metus pasimokyti vienas kitam iš kolegų. Pagėrės mokymosi kokybė ir bus ugdoma profesinės tarpusavio paramos kultūra.</w:t>
            </w:r>
          </w:p>
        </w:tc>
        <w:tc>
          <w:tcPr>
            <w:tcW w:w="2254" w:type="dxa"/>
          </w:tcPr>
          <w:p w14:paraId="16A588E6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8.1.1.1. 100 % mokytojų patobulino kompetencijas.</w:t>
            </w:r>
          </w:p>
          <w:p w14:paraId="67818B03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FBED96A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7A7A3DC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545D536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3114B7D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989D033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70533E7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DA51D07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25775E6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052E907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7C25750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59C3A28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56FEB30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19E52C1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1D96013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B4787F3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23772D3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43CB5FC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81E5A44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F79CBC1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8.1.2.1. 90 % mokytojų dalyvavo „Kolegialaus grįžtamojo ryšio“ mokymuose.</w:t>
            </w:r>
          </w:p>
          <w:p w14:paraId="0E8A77EB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1272CD0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6EF1B7B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DFDF129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2198391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7D92B11" w14:textId="77777777" w:rsidR="002F7F40" w:rsidRDefault="0000000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8.1.3.1. 80 % mokytojų ne mažiau kaip 3% pamokų organizavo įvairiose edukacinėse aplinkose. Rezultatai pristatyti 2023 m. gruodžio mėn. Metodinėje taryboje.</w:t>
            </w:r>
          </w:p>
          <w:p w14:paraId="0155F968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A4DB02B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16C53F6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3DDF0B6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4686922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4961039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BF93080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1C67784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5E3D4B4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063B763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C7F1B11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33E4DAB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8366193" w14:textId="77777777" w:rsidR="002F7F40" w:rsidRDefault="0000000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8.1.4.1. 1-4 kl. 15% mokinių pasieks aukštesnįjį lygį, 5-10 kl. - 3% pasieks aukštesnįjį lygį.</w:t>
            </w:r>
          </w:p>
          <w:p w14:paraId="594A370B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F2E778B" w14:textId="77777777" w:rsidR="002F7F40" w:rsidRDefault="0000000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8.1.5.1. NMPP aukštesnysis ir pagrindinis pasiekimų lygis 2 % didesnis negu 2022 m.</w:t>
            </w:r>
          </w:p>
          <w:p w14:paraId="04ACBB1C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192C9B5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75108DC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ACDAD2C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F79553C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CC7E080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AFC5229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CE8C98E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989448D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217815A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ACA5960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FD37F23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FC10B3A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BD87BAC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B0D59E3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A3E4296" w14:textId="77777777" w:rsidR="002F7F40" w:rsidRDefault="00000000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8.1.6.1. 60 % mokytojų pasinaudojo galimybe pasimokyti iš kolegų.</w:t>
            </w:r>
          </w:p>
        </w:tc>
        <w:tc>
          <w:tcPr>
            <w:tcW w:w="2254" w:type="dxa"/>
          </w:tcPr>
          <w:p w14:paraId="418D6EB3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lastRenderedPageBreak/>
              <w:t xml:space="preserve">8.1.1.1.1. 100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% mokytojų patobulino kompetencijas savarankiškai bei dalyvaudami organizuotuose mokymuose, seminaruose mokykloje. 2023 m. balandžio 18 d.- gegužės 5 d. vyko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mokytojų ugdomosios veiklos stebėsena. Buvo stebėtas darbo pamokoje diferencijavimas bei individualizavimas, vertinimas, įsivertinimas. Analizė pristatyta 2023 m. birželio 20 d. Pedagogų posėdyje</w:t>
            </w:r>
          </w:p>
          <w:p w14:paraId="69DCACC1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1DC5F40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8.1.2.1.1. 90 % mokytojų 2023 m. gruodžio 28 d. dalyvavo mokymuose “ Grįžtamasis ryšys individualiam augimo ir mokymosi kelio kūrimui”.</w:t>
            </w:r>
          </w:p>
          <w:p w14:paraId="0E3EECC0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F0D34B4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8.1.3.1.1. 80 % mokytojų ne mažiau kaip 3 % pamokų organizavo įvairiose edukacinėse aplinkose, pvz. 2023 m. kovo 27 d. 1-4 kl. ,,Velykų bobutė”, 2023 m. gruodžio 7 d. 7 kl. ,,Senojo lietuvių tikėjimo ženklai Vilniuje”, 2023 m. gruodžio 6 d. 5 kl. ,,Vilniaus Aukštutinės pilies istorija”, 2023 m. gruodžio 14 d. 8 kl. ,,Vilniaus tautų mozaika” ir t. t. Rezultatai pristatyti 2023 m. gruodžio 28 d. Metodinėje taryboje. </w:t>
            </w:r>
          </w:p>
          <w:p w14:paraId="58ABA4A5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BD8442E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8.1.4.1.1. 13 % 1-4 kl. mokinių pasiekė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aukštesnįjį lygį, 3 % 5-10 kl. mokinių pasiekė aukštesnįjį lygį.</w:t>
            </w:r>
          </w:p>
          <w:p w14:paraId="42BC6450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0613577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C4CFF5B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8.1.5.1.1. 2022-2023 m. m. 4 kl. NMPP lyginant su 2021-2022 m. m. skaitymas - aukštesnysis lygis pagerėjo 3 %, pagrindinis lygis - 45 % pagerėjo; matematika - aukštesnysis lygis - pagerėjo 9 %, pagrindinis lygis - 7 % pagerėjo. 8 kl. -  skaitymas - mokinių pasiekusių aukštesnįjį lygį nėra, pagrindinis lygis - 7 % pagerėjo, matematika - mokinių pasiekusių aukštesnįjį lygį nėra, pagrindinis lygis 3 % sumažėjo.</w:t>
            </w:r>
          </w:p>
          <w:p w14:paraId="70ED19D3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304B6B3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8.1.6.1.1. 60 % mokytojų pasinaudojo galimybe pasimokyti iš kolegų. Pamokos buvo aptartos Metodinėse grupėse. Mokytojai dalijosi patirtimi ir atskirus pamokos elementus panaudojo savo veikloje.</w:t>
            </w:r>
          </w:p>
        </w:tc>
      </w:tr>
      <w:tr w:rsidR="002F7F40" w14:paraId="4810B872" w14:textId="77777777">
        <w:tc>
          <w:tcPr>
            <w:tcW w:w="2254" w:type="dxa"/>
          </w:tcPr>
          <w:p w14:paraId="532A0A8A" w14:textId="77777777" w:rsidR="002F7F40" w:rsidRDefault="00000000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8.2. Inicijuoti pasirengimą atnaujinto ugdymo turinio įgyvendinimui mokykloje.</w:t>
            </w:r>
          </w:p>
        </w:tc>
        <w:tc>
          <w:tcPr>
            <w:tcW w:w="2254" w:type="dxa"/>
          </w:tcPr>
          <w:p w14:paraId="0EE3287A" w14:textId="77777777" w:rsidR="002F7F40" w:rsidRDefault="0000000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8.2.1. Atnaujintas mokinių pasiekimų vertinimo aprašas iki 2023 m. gegužės mėn.</w:t>
            </w:r>
          </w:p>
          <w:p w14:paraId="3B9489B7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C741090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BAC5169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CBBEE9B" w14:textId="77777777" w:rsidR="002F7F40" w:rsidRDefault="0000000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8.2.2. Organizuotos 1-2 atviros pamokos pagal atnaujintas BP.</w:t>
            </w:r>
          </w:p>
          <w:p w14:paraId="10BD7266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EDA6E79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CCCF35F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DA14E11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03CB1C0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37BE8D7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3A074FE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DB51BE6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7FC287C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FAA0678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8C7193D" w14:textId="77777777" w:rsidR="002F7F40" w:rsidRDefault="00000000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8.2.3. Sukurti ilgalaikių planų pavyzdžiai 1,3,5,7,9 klasėms.</w:t>
            </w:r>
          </w:p>
        </w:tc>
        <w:tc>
          <w:tcPr>
            <w:tcW w:w="2254" w:type="dxa"/>
          </w:tcPr>
          <w:p w14:paraId="49200583" w14:textId="77777777" w:rsidR="002F7F40" w:rsidRDefault="0000000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8.2.1.1. Atnaujintas mokinių pasiekimų vertinimo aprašas iki 2023 m. gegužės mėn.</w:t>
            </w:r>
          </w:p>
          <w:p w14:paraId="6C804FF3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188038F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9FD362E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2144326" w14:textId="77777777" w:rsidR="002F7F40" w:rsidRDefault="0000000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8.2.2.1. Iki 2023 m. gegužės mėn. organizuotos 1-2 atviros pamokos pagal atnaujintas BP</w:t>
            </w:r>
          </w:p>
          <w:p w14:paraId="0E60EABD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71A17B9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F0CDD7C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B99D09D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6E4E689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66CE4E5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A95F7D7" w14:textId="77777777" w:rsidR="002F7F40" w:rsidRDefault="0000000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5651B3FE" w14:textId="77777777" w:rsidR="002F7F40" w:rsidRDefault="002F7F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772FCA7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8.2.3.1. Iki 2023 m. rugpjūčio mėn. sukurti ilgalaikių planų pavyzdžiai 1,3,5,7,9 klasėms.</w:t>
            </w:r>
          </w:p>
        </w:tc>
        <w:tc>
          <w:tcPr>
            <w:tcW w:w="2254" w:type="dxa"/>
          </w:tcPr>
          <w:p w14:paraId="3153634B" w14:textId="77777777" w:rsidR="002F7F40" w:rsidRDefault="00000000">
            <w:pP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lastRenderedPageBreak/>
              <w:t xml:space="preserve">8.2.1.1.1.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Atnaujintas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2023 m.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lapkričio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15 d.  Vilniaus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Liepkalnio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mokyklos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Mokinių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pasiekimų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pažangos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vertinimo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lastRenderedPageBreak/>
              <w:t>tvarkos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aprašas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direktoriaus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įsak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. Nr. V-149</w:t>
            </w:r>
          </w:p>
          <w:p w14:paraId="6714F8CE" w14:textId="77777777" w:rsidR="002F7F40" w:rsidRDefault="00000000">
            <w:pP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8.2.2.1.1.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Organizuotos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atviros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pamokos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pagal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atnaujintas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BP: 2023 m.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balandžio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19 d.,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balandžio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21 d.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priešmokyklinio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ugdymo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grupėje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, 2023 m.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spalio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12 d.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pasaulio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pažinimo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muzikos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pamoka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1 kl., 2023 m.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spalio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17 d.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anglų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kalbos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pamoka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5 kl.</w:t>
            </w:r>
          </w:p>
          <w:p w14:paraId="2A99D865" w14:textId="77777777" w:rsidR="002F7F40" w:rsidRDefault="002F7F40">
            <w:pP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</w:pPr>
          </w:p>
          <w:p w14:paraId="6B0F6132" w14:textId="77777777" w:rsidR="002F7F40" w:rsidRDefault="00000000">
            <w:pP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8.2.3.1.1. 2023 m.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gegužės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23 d.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sukurti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Metodinėje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taryboje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aprobuoti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ilgalaikių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planų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pavyzdžiai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1,3,5,7,9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klasėms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pagal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UTA.</w:t>
            </w:r>
          </w:p>
        </w:tc>
      </w:tr>
      <w:tr w:rsidR="002F7F40" w14:paraId="3E047D2F" w14:textId="77777777">
        <w:tc>
          <w:tcPr>
            <w:tcW w:w="2254" w:type="dxa"/>
          </w:tcPr>
          <w:p w14:paraId="4480BBDD" w14:textId="77777777" w:rsidR="002F7F40" w:rsidRDefault="00000000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8.3. Stiprinti įtraukiojo ugdymo praktiką.</w:t>
            </w:r>
          </w:p>
        </w:tc>
        <w:tc>
          <w:tcPr>
            <w:tcW w:w="2254" w:type="dxa"/>
          </w:tcPr>
          <w:p w14:paraId="19B3EDF2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8.3.1. Sukurti SUP mokinių tėvų klubą.</w:t>
            </w:r>
          </w:p>
          <w:p w14:paraId="26BC1C88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99F490D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EC241AE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D5E6E67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ABE361E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E2EE86D" w14:textId="77777777" w:rsidR="002F7F40" w:rsidRDefault="00000000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8.3.2. 40 % SUP mokinių derins formalųjį ugdymą su neformaliuoju ugdymu.</w:t>
            </w:r>
          </w:p>
        </w:tc>
        <w:tc>
          <w:tcPr>
            <w:tcW w:w="2254" w:type="dxa"/>
          </w:tcPr>
          <w:p w14:paraId="58977B08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8.3.1.1. Sukurtas ir veikia SUP mokinių tėvų klubas.</w:t>
            </w:r>
          </w:p>
          <w:p w14:paraId="4657CF27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1B2DE90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111A85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93342D9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E985333" w14:textId="77777777" w:rsidR="002F7F40" w:rsidRDefault="00000000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8.3.2.1. 40 % SUP mokinių derina formalųjį ugdymą su neformaliuoju ugdymu.</w:t>
            </w:r>
          </w:p>
        </w:tc>
        <w:tc>
          <w:tcPr>
            <w:tcW w:w="2254" w:type="dxa"/>
          </w:tcPr>
          <w:p w14:paraId="44BCB999" w14:textId="77777777" w:rsidR="002F7F40" w:rsidRDefault="00000000">
            <w:pP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8.3.1.1.1.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Sukurtas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veikia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SUP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mokinių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tėvų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klubas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Vilties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svetainė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kuriam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vadovauja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mokyklos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psichologė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>.</w:t>
            </w:r>
          </w:p>
          <w:p w14:paraId="1728F5E8" w14:textId="77777777" w:rsidR="002F7F40" w:rsidRDefault="002F7F40">
            <w:pP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</w:pPr>
          </w:p>
          <w:p w14:paraId="196E7829" w14:textId="77777777" w:rsidR="002F7F40" w:rsidRDefault="00000000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lt-LT"/>
              </w:rPr>
              <w:t xml:space="preserve">8.3.2.1.1. 40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%  SUP mokinių derina formalųjį ugdymą su neformaliuoju ugdymu, dalyvauja dailės ir dainavimo būreliuose.</w:t>
            </w:r>
          </w:p>
        </w:tc>
      </w:tr>
      <w:tr w:rsidR="002F7F40" w14:paraId="5F87EA71" w14:textId="77777777">
        <w:tc>
          <w:tcPr>
            <w:tcW w:w="2254" w:type="dxa"/>
          </w:tcPr>
          <w:p w14:paraId="4D434811" w14:textId="77777777" w:rsidR="002F7F40" w:rsidRDefault="00000000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8.4. Užtikrinti palankų socialinį ir emocinį mikroklimatą mokykloje.</w:t>
            </w:r>
          </w:p>
        </w:tc>
        <w:tc>
          <w:tcPr>
            <w:tcW w:w="2254" w:type="dxa"/>
          </w:tcPr>
          <w:p w14:paraId="2930A5C5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8.4.1. Bus įgyvendintos 3 SEU programos, 2 programos pradinėse klasėse ir 1 programa 5-8 klasėse.</w:t>
            </w:r>
          </w:p>
          <w:p w14:paraId="4A543821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BFA215B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5DE71F4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1C68BF0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8F3380C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5BA179A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F28305B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3D402DA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77E3F56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1508D6D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A4E5780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A7FBF97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1E5C185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63DF7F6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25E80BE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E7DD3D7" w14:textId="77777777" w:rsidR="002F7F40" w:rsidRDefault="00000000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8.4.2. 50 % mokytojų dalyvaus socialinio-emocinio mikroklimato mokymuose.</w:t>
            </w:r>
          </w:p>
        </w:tc>
        <w:tc>
          <w:tcPr>
            <w:tcW w:w="2254" w:type="dxa"/>
          </w:tcPr>
          <w:p w14:paraId="0C349847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8.4.1.1. Įgyvendintos 3 SEU programos ir patobulintos mokinių SEU kompetencijos.</w:t>
            </w:r>
          </w:p>
          <w:p w14:paraId="58C2A5F9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E66148E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D2F4FEB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B19DD63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A4EF1E9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1A35469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1E9EEAC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7634F9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FDAF677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E2E3468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D9D5951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878429A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8A00767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E48E51D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D8A7C8D" w14:textId="77777777" w:rsidR="002F7F40" w:rsidRDefault="002F7F40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4D90018" w14:textId="77777777" w:rsidR="002F7F40" w:rsidRDefault="002F7F40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3E56E84" w14:textId="77777777" w:rsidR="002F7F40" w:rsidRDefault="002F7F40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3CD709C" w14:textId="77777777" w:rsidR="002F7F40" w:rsidRDefault="0000000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8.4.2.1.50% mokytojų dalyvavo socialinio-emocinio mikroklimato mokymuose.</w:t>
            </w:r>
          </w:p>
        </w:tc>
        <w:tc>
          <w:tcPr>
            <w:tcW w:w="2254" w:type="dxa"/>
          </w:tcPr>
          <w:p w14:paraId="4B65BC0E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lastRenderedPageBreak/>
              <w:t xml:space="preserve">8.4.1.1.1. 2023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pradinių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kl.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mokiniai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(3,4 kl.)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dalyvavo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ankstyvosios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prevencijos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programose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Obuolio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draugai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Įveikiame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kartu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”, o 5-8 kl.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mokiniai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dalyvavo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mokykliniame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lastRenderedPageBreak/>
              <w:t>projekte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Alkoholio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tabako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narkotinių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psichotropinių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medžiagų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vartojimo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mokyklos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projekte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Vilties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kibirkštėlė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nuo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2023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spalio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mėn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. Iki 2024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gruodžio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mėn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. </w:t>
            </w:r>
          </w:p>
          <w:p w14:paraId="18EC4572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</w:p>
          <w:p w14:paraId="3B30F085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8.4.2.1.1.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50 %  mokytojų dalyvavo mokymuose 2023 m. gruodžio 2 d. ,,Perdegimo prevencija ir motyvacija dirbti pedagogo darbe pokyčių sąlygomis”. 2023 m. sausio mėnesį ir 2023 m. gruodžio mėnesį buvo pravestos apklausos apie socialinį-emocinį mikroklimatą mokykloje. Situacija pagerėjo 1 %.</w:t>
            </w:r>
          </w:p>
        </w:tc>
      </w:tr>
    </w:tbl>
    <w:p w14:paraId="7C39DFDE" w14:textId="77777777" w:rsidR="002F7F40" w:rsidRDefault="002F7F40">
      <w:pPr>
        <w:rPr>
          <w:rFonts w:ascii="Times New Roman" w:hAnsi="Times New Roman"/>
          <w:bCs/>
          <w:sz w:val="24"/>
          <w:szCs w:val="24"/>
          <w:lang w:val="lt-LT" w:eastAsia="lt-LT"/>
        </w:rPr>
      </w:pPr>
    </w:p>
    <w:p w14:paraId="534E3A4A" w14:textId="77777777" w:rsidR="002F7F40" w:rsidRDefault="00000000">
      <w:pPr>
        <w:pStyle w:val="ListParagraph"/>
        <w:numPr>
          <w:ilvl w:val="0"/>
          <w:numId w:val="1"/>
        </w:numPr>
        <w:ind w:left="714" w:hanging="357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Užduotys, neįvykdytos ar įvykdytos iš dalies dėl numatytų rizikų (jei tokių buvo)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2F7F40" w14:paraId="171D1217" w14:textId="77777777">
        <w:trPr>
          <w:jc w:val="center"/>
        </w:trPr>
        <w:tc>
          <w:tcPr>
            <w:tcW w:w="4508" w:type="dxa"/>
          </w:tcPr>
          <w:p w14:paraId="7B1EFF6C" w14:textId="77777777" w:rsidR="002F7F40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Užduotys</w:t>
            </w:r>
          </w:p>
        </w:tc>
        <w:tc>
          <w:tcPr>
            <w:tcW w:w="4508" w:type="dxa"/>
          </w:tcPr>
          <w:p w14:paraId="6F39CA91" w14:textId="77777777" w:rsidR="002F7F40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Priežastys, rizikos</w:t>
            </w:r>
          </w:p>
        </w:tc>
      </w:tr>
      <w:tr w:rsidR="002F7F40" w14:paraId="751AE0AF" w14:textId="77777777">
        <w:trPr>
          <w:jc w:val="center"/>
        </w:trPr>
        <w:tc>
          <w:tcPr>
            <w:tcW w:w="4508" w:type="dxa"/>
          </w:tcPr>
          <w:p w14:paraId="514BC81B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2.1.</w:t>
            </w:r>
          </w:p>
        </w:tc>
        <w:tc>
          <w:tcPr>
            <w:tcW w:w="4508" w:type="dxa"/>
          </w:tcPr>
          <w:p w14:paraId="6348A626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F7F40" w14:paraId="6EC0D6E1" w14:textId="77777777">
        <w:trPr>
          <w:jc w:val="center"/>
        </w:trPr>
        <w:tc>
          <w:tcPr>
            <w:tcW w:w="4508" w:type="dxa"/>
          </w:tcPr>
          <w:p w14:paraId="232A9475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2.2.</w:t>
            </w:r>
          </w:p>
        </w:tc>
        <w:tc>
          <w:tcPr>
            <w:tcW w:w="4508" w:type="dxa"/>
          </w:tcPr>
          <w:p w14:paraId="338E2226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F7F40" w14:paraId="2CA2C7D3" w14:textId="77777777">
        <w:trPr>
          <w:jc w:val="center"/>
        </w:trPr>
        <w:tc>
          <w:tcPr>
            <w:tcW w:w="4508" w:type="dxa"/>
          </w:tcPr>
          <w:p w14:paraId="77007616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2.3.</w:t>
            </w:r>
          </w:p>
        </w:tc>
        <w:tc>
          <w:tcPr>
            <w:tcW w:w="4508" w:type="dxa"/>
          </w:tcPr>
          <w:p w14:paraId="67BF3009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7BD8BB79" w14:textId="77777777" w:rsidR="002F7F40" w:rsidRDefault="002F7F40">
      <w:pPr>
        <w:spacing w:after="120" w:line="276" w:lineRule="auto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449CF848" w14:textId="77777777" w:rsidR="002F7F40" w:rsidRDefault="00000000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Veiklos, kurios nebuvo planuotos ir nustatytos, bet įvykdytos</w:t>
      </w:r>
    </w:p>
    <w:p w14:paraId="54EDCE94" w14:textId="77777777" w:rsidR="002F7F40" w:rsidRDefault="00000000">
      <w:pPr>
        <w:ind w:left="360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(pildoma, jei buvo atlikta papildomų, svarių įstaigos veiklos rezultatams)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F7F40" w14:paraId="52CBD1DE" w14:textId="77777777">
        <w:tc>
          <w:tcPr>
            <w:tcW w:w="4508" w:type="dxa"/>
          </w:tcPr>
          <w:p w14:paraId="421AD73C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Užduotys / veiklos</w:t>
            </w:r>
          </w:p>
        </w:tc>
        <w:tc>
          <w:tcPr>
            <w:tcW w:w="4508" w:type="dxa"/>
          </w:tcPr>
          <w:p w14:paraId="1ABFFFFA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Poveikis švietimo įstaigos veiklai</w:t>
            </w:r>
          </w:p>
        </w:tc>
      </w:tr>
      <w:tr w:rsidR="002F7F40" w14:paraId="3B5EBA9B" w14:textId="77777777">
        <w:tc>
          <w:tcPr>
            <w:tcW w:w="4508" w:type="dxa"/>
          </w:tcPr>
          <w:p w14:paraId="703F0664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3.1.Sporto aikštyno įrengimas</w:t>
            </w:r>
          </w:p>
        </w:tc>
        <w:tc>
          <w:tcPr>
            <w:tcW w:w="4508" w:type="dxa"/>
          </w:tcPr>
          <w:p w14:paraId="3CE514E0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Pagerėjo sąlygos mokiniams sportuoti lauke. Sporto aikštynas tapo traukos objektu ir popamokiniams mokinių užsiėmimams.</w:t>
            </w:r>
          </w:p>
        </w:tc>
      </w:tr>
      <w:tr w:rsidR="002F7F40" w14:paraId="6B8E3E7E" w14:textId="77777777">
        <w:tc>
          <w:tcPr>
            <w:tcW w:w="4508" w:type="dxa"/>
          </w:tcPr>
          <w:p w14:paraId="3C298EFF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3.2.Mokinių, atvykusių iš užsienio ugdymo organizavimas.</w:t>
            </w:r>
          </w:p>
        </w:tc>
        <w:tc>
          <w:tcPr>
            <w:tcW w:w="4508" w:type="dxa"/>
          </w:tcPr>
          <w:p w14:paraId="215F9971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2023 m. užtikrintas 80 mokinių, atvykusių iš užsienio ugdymas ir pagalba integruojantis. Kiekvienam mokiniui sudaryti individualus mokymo ir pagalbos teikimo planai. Skirtos papildomos valandos lietuvių kalbos mokymui. </w:t>
            </w:r>
          </w:p>
        </w:tc>
      </w:tr>
      <w:tr w:rsidR="002F7F40" w14:paraId="5656CBF7" w14:textId="77777777">
        <w:tc>
          <w:tcPr>
            <w:tcW w:w="4508" w:type="dxa"/>
          </w:tcPr>
          <w:p w14:paraId="4B005BB0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3.3. Naujų dokumentų, reglamentuojančių mokyklos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bengdruomenės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veiklą rengimas.</w:t>
            </w:r>
          </w:p>
        </w:tc>
        <w:tc>
          <w:tcPr>
            <w:tcW w:w="4508" w:type="dxa"/>
          </w:tcPr>
          <w:p w14:paraId="67CA48C6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Vilniaus Liepkalnio mokyklos 2023-2027 m. strateginis planas, patvirtintas 2023 m.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sausio 26 d. dir. įsakymas Nr. V-19. Numatytas mokyklos plėtros ir darbo planas, kuris padeda kelti ugdymo kokybę ir diegti šiuolaikiškus darbo metodus ir priemones.</w:t>
            </w:r>
          </w:p>
        </w:tc>
      </w:tr>
      <w:tr w:rsidR="002F7F40" w14:paraId="6421CA29" w14:textId="77777777">
        <w:tc>
          <w:tcPr>
            <w:tcW w:w="4508" w:type="dxa"/>
          </w:tcPr>
          <w:p w14:paraId="5ADB9C1E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3.4.Dalyvavimas 2022-2025 m. projekte „Tūkstantmečio mokyklos“.</w:t>
            </w:r>
          </w:p>
        </w:tc>
        <w:tc>
          <w:tcPr>
            <w:tcW w:w="4508" w:type="dxa"/>
          </w:tcPr>
          <w:p w14:paraId="36011F7D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Projektas paskatins pokyčius, orientuotus į mokytojų kvalifikacijos kėlimą, mokinių gebėjimus ir pasiekimus bei techninę materialinę bazę.</w:t>
            </w:r>
          </w:p>
        </w:tc>
      </w:tr>
    </w:tbl>
    <w:p w14:paraId="7F55793B" w14:textId="77777777" w:rsidR="002F7F40" w:rsidRDefault="002F7F40">
      <w:pPr>
        <w:rPr>
          <w:rFonts w:ascii="Times New Roman" w:hAnsi="Times New Roman"/>
          <w:sz w:val="24"/>
          <w:szCs w:val="24"/>
          <w:lang w:val="lt-LT"/>
        </w:rPr>
      </w:pPr>
    </w:p>
    <w:p w14:paraId="0D18D3AF" w14:textId="77777777" w:rsidR="002F7F40" w:rsidRDefault="00000000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Pakoreguotos praėjusių metų veiklos užduotys (jei tokių buvo) ir rezultatai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F7F40" w14:paraId="4990847B" w14:textId="77777777">
        <w:trPr>
          <w:jc w:val="center"/>
        </w:trPr>
        <w:tc>
          <w:tcPr>
            <w:tcW w:w="2254" w:type="dxa"/>
          </w:tcPr>
          <w:p w14:paraId="0C7D8ECF" w14:textId="77777777" w:rsidR="002F7F40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Užduotys</w:t>
            </w:r>
          </w:p>
        </w:tc>
        <w:tc>
          <w:tcPr>
            <w:tcW w:w="2254" w:type="dxa"/>
          </w:tcPr>
          <w:p w14:paraId="47DC5172" w14:textId="77777777" w:rsidR="002F7F40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Siektini rezultatai</w:t>
            </w:r>
          </w:p>
        </w:tc>
        <w:tc>
          <w:tcPr>
            <w:tcW w:w="2254" w:type="dxa"/>
          </w:tcPr>
          <w:p w14:paraId="6A2D6FBB" w14:textId="77777777" w:rsidR="002F7F40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Rezultatų vertinimo rodikliai </w:t>
            </w:r>
            <w:r>
              <w:rPr>
                <w:rFonts w:ascii="Times New Roman" w:hAnsi="Times New Roman"/>
                <w:bCs/>
                <w:lang w:val="lt-LT" w:eastAsia="lt-LT"/>
              </w:rPr>
              <w:t>(kuriais vadovaujantis vertinama, ar nustatytos užduotys įvykdytos)</w:t>
            </w:r>
          </w:p>
        </w:tc>
        <w:tc>
          <w:tcPr>
            <w:tcW w:w="2254" w:type="dxa"/>
          </w:tcPr>
          <w:p w14:paraId="6C2459A8" w14:textId="77777777" w:rsidR="002F7F40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Pasiekti rezultatai ir jų rodikliai</w:t>
            </w:r>
          </w:p>
        </w:tc>
      </w:tr>
      <w:tr w:rsidR="002F7F40" w14:paraId="5B2D451D" w14:textId="77777777">
        <w:trPr>
          <w:jc w:val="center"/>
        </w:trPr>
        <w:tc>
          <w:tcPr>
            <w:tcW w:w="2254" w:type="dxa"/>
          </w:tcPr>
          <w:p w14:paraId="483745AA" w14:textId="77777777" w:rsidR="002F7F40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4.1.</w:t>
            </w:r>
          </w:p>
        </w:tc>
        <w:tc>
          <w:tcPr>
            <w:tcW w:w="2254" w:type="dxa"/>
          </w:tcPr>
          <w:p w14:paraId="0B786294" w14:textId="77777777" w:rsidR="002F7F40" w:rsidRDefault="002F7F4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254" w:type="dxa"/>
          </w:tcPr>
          <w:p w14:paraId="246A76BF" w14:textId="77777777" w:rsidR="002F7F40" w:rsidRDefault="002F7F40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2254" w:type="dxa"/>
          </w:tcPr>
          <w:p w14:paraId="235A52F5" w14:textId="77777777" w:rsidR="002F7F40" w:rsidRDefault="002F7F40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</w:tc>
      </w:tr>
    </w:tbl>
    <w:p w14:paraId="72C147A4" w14:textId="77777777" w:rsidR="002F7F40" w:rsidRDefault="002F7F40">
      <w:pPr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7BE6642C" w14:textId="77777777" w:rsidR="002F7F40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 SKYRIUS</w:t>
      </w:r>
    </w:p>
    <w:p w14:paraId="509DE717" w14:textId="77777777" w:rsidR="002F7F40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GEBĖJIMŲ ATLIKTI PAREIGYBĖS APRAŠYME NUSTATYTAS FUNKCIJAS VERTINIMAS</w:t>
      </w:r>
    </w:p>
    <w:p w14:paraId="54B747FA" w14:textId="77777777" w:rsidR="002F7F40" w:rsidRDefault="002F7F40">
      <w:pPr>
        <w:jc w:val="center"/>
        <w:rPr>
          <w:rFonts w:ascii="Times New Roman" w:hAnsi="Times New Roman"/>
          <w:sz w:val="24"/>
          <w:szCs w:val="24"/>
        </w:rPr>
      </w:pPr>
    </w:p>
    <w:p w14:paraId="16512DDF" w14:textId="77777777" w:rsidR="002F7F40" w:rsidRDefault="0000000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 Gebėjimų atlikti pareigybės aprašyme nustatytas funkcijas vertinimas</w:t>
      </w:r>
    </w:p>
    <w:p w14:paraId="435974A4" w14:textId="77777777" w:rsidR="002F7F40" w:rsidRDefault="00000000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(pildoma, aptariant ataskaitą)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2F7F40" w14:paraId="21EB82FD" w14:textId="7777777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8CFF" w14:textId="77777777" w:rsidR="002F7F40" w:rsidRDefault="000000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EF2B" w14:textId="77777777" w:rsidR="002F7F40" w:rsidRDefault="000000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Pažymimas atitinkamas langelis:</w:t>
            </w:r>
          </w:p>
          <w:p w14:paraId="66F95156" w14:textId="77777777" w:rsidR="002F7F40" w:rsidRDefault="000000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 – nepatenkinamai;</w:t>
            </w:r>
          </w:p>
          <w:p w14:paraId="05B22EE1" w14:textId="77777777" w:rsidR="002F7F40" w:rsidRDefault="000000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 – patenkinamai;</w:t>
            </w:r>
          </w:p>
          <w:p w14:paraId="1FBD3107" w14:textId="77777777" w:rsidR="002F7F40" w:rsidRDefault="000000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 – gerai;</w:t>
            </w:r>
          </w:p>
          <w:p w14:paraId="380E915E" w14:textId="77777777" w:rsidR="002F7F40" w:rsidRDefault="000000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 – labai gerai</w:t>
            </w:r>
          </w:p>
        </w:tc>
      </w:tr>
      <w:tr w:rsidR="002F7F40" w14:paraId="5A833E2E" w14:textId="7777777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F475" w14:textId="77777777" w:rsidR="002F7F40" w:rsidRDefault="00000000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5.1. Informacijos ir situacijos valdymas atliekant funkcijas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1076" w14:textId="77777777" w:rsidR="002F7F40" w:rsidRDefault="0000000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1□      2□       3□       4□</w:t>
            </w:r>
          </w:p>
        </w:tc>
      </w:tr>
      <w:tr w:rsidR="002F7F40" w14:paraId="4525EFCE" w14:textId="7777777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55735" w14:textId="77777777" w:rsidR="002F7F40" w:rsidRDefault="00000000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5.2. Išteklių (žmogiškųjų, laiko ir materialinių) paskirstymas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7DB3" w14:textId="77777777" w:rsidR="002F7F40" w:rsidRDefault="00000000">
            <w:pPr>
              <w:tabs>
                <w:tab w:val="left" w:pos="690"/>
              </w:tabs>
              <w:spacing w:line="256" w:lineRule="auto"/>
              <w:ind w:hanging="19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1□      2□       3□       4□</w:t>
            </w:r>
          </w:p>
        </w:tc>
      </w:tr>
      <w:tr w:rsidR="002F7F40" w14:paraId="538BF1EE" w14:textId="7777777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7904" w14:textId="77777777" w:rsidR="002F7F40" w:rsidRDefault="00000000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5.3. Lyderystės ir vadovavimo efektyvumas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7DBA" w14:textId="77777777" w:rsidR="002F7F40" w:rsidRDefault="0000000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1□      2□       3□       4□</w:t>
            </w:r>
          </w:p>
        </w:tc>
      </w:tr>
      <w:tr w:rsidR="002F7F40" w14:paraId="65783C76" w14:textId="7777777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1B7E" w14:textId="77777777" w:rsidR="002F7F40" w:rsidRDefault="00000000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5.4. Žinių,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770E" w14:textId="77777777" w:rsidR="002F7F40" w:rsidRDefault="0000000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1□      2□       3□       4□</w:t>
            </w:r>
          </w:p>
        </w:tc>
      </w:tr>
      <w:tr w:rsidR="002F7F40" w14:paraId="2B931091" w14:textId="7777777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55AE" w14:textId="77777777" w:rsidR="002F7F40" w:rsidRDefault="0000000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D3BF" w14:textId="77777777" w:rsidR="002F7F40" w:rsidRDefault="0000000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1□      2□       3□       4□</w:t>
            </w:r>
          </w:p>
        </w:tc>
      </w:tr>
    </w:tbl>
    <w:p w14:paraId="43EF5DC5" w14:textId="77777777" w:rsidR="002F7F40" w:rsidRDefault="002F7F40">
      <w:pPr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50ED3943" w14:textId="77777777" w:rsidR="002F7F40" w:rsidRDefault="002F7F40">
      <w:pPr>
        <w:rPr>
          <w:rFonts w:ascii="Times New Roman" w:hAnsi="Times New Roman"/>
          <w:sz w:val="24"/>
          <w:szCs w:val="24"/>
          <w:lang w:val="lt-LT"/>
        </w:rPr>
      </w:pPr>
    </w:p>
    <w:sectPr w:rsidR="002F7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4C1A" w14:textId="77777777" w:rsidR="002C44F8" w:rsidRDefault="002C44F8">
      <w:r>
        <w:separator/>
      </w:r>
    </w:p>
  </w:endnote>
  <w:endnote w:type="continuationSeparator" w:id="0">
    <w:p w14:paraId="6055A38E" w14:textId="77777777" w:rsidR="002C44F8" w:rsidRDefault="002C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0B66" w14:textId="77777777" w:rsidR="002F7F40" w:rsidRDefault="002F7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198B" w14:textId="77777777" w:rsidR="002F7F40" w:rsidRDefault="002F7F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F1BD" w14:textId="77777777" w:rsidR="002F7F40" w:rsidRDefault="002F7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5D61" w14:textId="77777777" w:rsidR="002C44F8" w:rsidRDefault="002C44F8">
      <w:r>
        <w:separator/>
      </w:r>
    </w:p>
  </w:footnote>
  <w:footnote w:type="continuationSeparator" w:id="0">
    <w:p w14:paraId="64647BF4" w14:textId="77777777" w:rsidR="002C44F8" w:rsidRDefault="002C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02E8" w14:textId="77777777" w:rsidR="002F7F40" w:rsidRDefault="002F7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87F0" w14:textId="77777777" w:rsidR="002F7F40" w:rsidRDefault="002F7F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12A3" w14:textId="77777777" w:rsidR="002F7F40" w:rsidRDefault="002F7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75BD4"/>
    <w:multiLevelType w:val="multilevel"/>
    <w:tmpl w:val="2A775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8604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66"/>
    <w:rsid w:val="00045CA2"/>
    <w:rsid w:val="000514B8"/>
    <w:rsid w:val="00054358"/>
    <w:rsid w:val="000C0C7E"/>
    <w:rsid w:val="00101012"/>
    <w:rsid w:val="00151F8A"/>
    <w:rsid w:val="001666F4"/>
    <w:rsid w:val="00170424"/>
    <w:rsid w:val="00185845"/>
    <w:rsid w:val="00197D5B"/>
    <w:rsid w:val="001A26EE"/>
    <w:rsid w:val="001A5DD7"/>
    <w:rsid w:val="001B5B8F"/>
    <w:rsid w:val="001C62E2"/>
    <w:rsid w:val="001E7D69"/>
    <w:rsid w:val="001F48C5"/>
    <w:rsid w:val="0024292B"/>
    <w:rsid w:val="0025636D"/>
    <w:rsid w:val="002C44F8"/>
    <w:rsid w:val="002D507B"/>
    <w:rsid w:val="002E373B"/>
    <w:rsid w:val="002E6471"/>
    <w:rsid w:val="002F7F40"/>
    <w:rsid w:val="00350C7C"/>
    <w:rsid w:val="00377268"/>
    <w:rsid w:val="003B0B14"/>
    <w:rsid w:val="00473983"/>
    <w:rsid w:val="004774F2"/>
    <w:rsid w:val="004B71AB"/>
    <w:rsid w:val="004C2053"/>
    <w:rsid w:val="005410F4"/>
    <w:rsid w:val="00551170"/>
    <w:rsid w:val="00553468"/>
    <w:rsid w:val="00593E14"/>
    <w:rsid w:val="005A2F88"/>
    <w:rsid w:val="005B49C5"/>
    <w:rsid w:val="005C5830"/>
    <w:rsid w:val="005C6649"/>
    <w:rsid w:val="005D4AE2"/>
    <w:rsid w:val="005F08B0"/>
    <w:rsid w:val="005F444A"/>
    <w:rsid w:val="00626FB4"/>
    <w:rsid w:val="00674E6F"/>
    <w:rsid w:val="006779B5"/>
    <w:rsid w:val="006C7554"/>
    <w:rsid w:val="006E055C"/>
    <w:rsid w:val="0070493A"/>
    <w:rsid w:val="007120F6"/>
    <w:rsid w:val="00713982"/>
    <w:rsid w:val="00754145"/>
    <w:rsid w:val="00763536"/>
    <w:rsid w:val="007F70D3"/>
    <w:rsid w:val="0081091D"/>
    <w:rsid w:val="00822A9C"/>
    <w:rsid w:val="008512A1"/>
    <w:rsid w:val="00883863"/>
    <w:rsid w:val="0089387D"/>
    <w:rsid w:val="00897908"/>
    <w:rsid w:val="008D39CD"/>
    <w:rsid w:val="00932CD7"/>
    <w:rsid w:val="00954BBB"/>
    <w:rsid w:val="009A05AB"/>
    <w:rsid w:val="00A00080"/>
    <w:rsid w:val="00A10C6A"/>
    <w:rsid w:val="00A52D10"/>
    <w:rsid w:val="00A70EA1"/>
    <w:rsid w:val="00A77E0E"/>
    <w:rsid w:val="00A8572F"/>
    <w:rsid w:val="00A9276F"/>
    <w:rsid w:val="00AC6602"/>
    <w:rsid w:val="00B3397B"/>
    <w:rsid w:val="00BD1038"/>
    <w:rsid w:val="00C22757"/>
    <w:rsid w:val="00C54CFB"/>
    <w:rsid w:val="00CA2222"/>
    <w:rsid w:val="00CD50E2"/>
    <w:rsid w:val="00D45C80"/>
    <w:rsid w:val="00D63F0E"/>
    <w:rsid w:val="00D81977"/>
    <w:rsid w:val="00E57666"/>
    <w:rsid w:val="00E6564B"/>
    <w:rsid w:val="00EE2336"/>
    <w:rsid w:val="00EE3514"/>
    <w:rsid w:val="00EF1242"/>
    <w:rsid w:val="00F048B8"/>
    <w:rsid w:val="00F3172A"/>
    <w:rsid w:val="00F73129"/>
    <w:rsid w:val="00F73A5F"/>
    <w:rsid w:val="00FC7213"/>
    <w:rsid w:val="00FE4D0C"/>
    <w:rsid w:val="00FF2831"/>
    <w:rsid w:val="0558454D"/>
    <w:rsid w:val="09235958"/>
    <w:rsid w:val="0B2F782D"/>
    <w:rsid w:val="0C3F4750"/>
    <w:rsid w:val="1DD26D3A"/>
    <w:rsid w:val="24CE25C2"/>
    <w:rsid w:val="25D72BC1"/>
    <w:rsid w:val="2AB00781"/>
    <w:rsid w:val="2D862A57"/>
    <w:rsid w:val="2DB641CB"/>
    <w:rsid w:val="301F608C"/>
    <w:rsid w:val="385A36A4"/>
    <w:rsid w:val="38C20CD3"/>
    <w:rsid w:val="393129F2"/>
    <w:rsid w:val="50003E2E"/>
    <w:rsid w:val="541254A5"/>
    <w:rsid w:val="561B326B"/>
    <w:rsid w:val="61F93E73"/>
    <w:rsid w:val="68CA362C"/>
    <w:rsid w:val="68E5146C"/>
    <w:rsid w:val="6A763739"/>
    <w:rsid w:val="6C4A0F52"/>
    <w:rsid w:val="6D1C3119"/>
    <w:rsid w:val="6DDD32B9"/>
    <w:rsid w:val="76550BCA"/>
    <w:rsid w:val="7935375E"/>
    <w:rsid w:val="7F53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9D76"/>
  <w15:docId w15:val="{6EFCDED4-BB94-40AB-8E9A-A877D36A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rFonts w:ascii="HelveticaLT" w:eastAsia="Times New Roman" w:hAnsi="HelveticaLT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HelveticaLT" w:eastAsia="Times New Roman" w:hAnsi="HelveticaLT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HelveticaLT" w:eastAsia="Times New Roman" w:hAnsi="HelveticaLT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8859</Words>
  <Characters>5050</Characters>
  <Application>Microsoft Office Word</Application>
  <DocSecurity>0</DocSecurity>
  <Lines>42</Lines>
  <Paragraphs>27</Paragraphs>
  <ScaleCrop>false</ScaleCrop>
  <Company/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Bartanovičienė</dc:creator>
  <cp:lastModifiedBy>ANA RAČEVSKA</cp:lastModifiedBy>
  <cp:revision>2</cp:revision>
  <cp:lastPrinted>2023-01-24T12:21:00Z</cp:lastPrinted>
  <dcterms:created xsi:type="dcterms:W3CDTF">2024-01-19T11:52:00Z</dcterms:created>
  <dcterms:modified xsi:type="dcterms:W3CDTF">2024-01-19T11:52:00Z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296E4AE5B55C4F539E2DF06F7F106336_12</vt:lpwstr>
  </property>
</Properties>
</file>